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40"/>
      </w:pPr>
      <w:r>
        <w:rPr>
          <w:rFonts w:ascii="Calibri" w:hAnsi="Calibri"/>
          <w:b/>
          <w:i w:val="0"/>
          <w:color w:val="1A2B4A"/>
          <w:sz w:val="56"/>
        </w:rPr>
        <w:t>TIM WILSON</w:t>
      </w:r>
    </w:p>
    <w:p>
      <w:pPr>
        <w:spacing w:before="0" w:after="120"/>
        <w:pBdr>
          <w:bottom w:val="single" w:sz="14" w:space="4" w:color="007A87"/>
        </w:pBdr>
      </w:pPr>
      <w:r>
        <w:rPr>
          <w:rFonts w:ascii="Calibri" w:hAnsi="Calibri"/>
          <w:b w:val="0"/>
          <w:i w:val="0"/>
          <w:color w:val="007A87"/>
          <w:sz w:val="22"/>
        </w:rPr>
        <w:t>Partnerships  ·  Programme Strategy  ·  Creative Leadership  ·  Facilitation</w:t>
      </w:r>
    </w:p>
    <w:p>
      <w:pPr>
        <w:spacing w:before="80" w:after="200"/>
      </w:pPr>
      <w:r>
        <w:rPr>
          <w:rFonts w:ascii="Calibri" w:hAnsi="Calibri"/>
          <w:b w:val="0"/>
          <w:i w:val="0"/>
          <w:color w:val="4A5568"/>
          <w:sz w:val="18"/>
        </w:rPr>
        <w:t>hello@timmy666.com   |   linkedin.com/in/mrtimwilson   |   facebook.com/timinwalsall   |   timmy666.com</w:t>
      </w:r>
    </w:p>
    <w:p>
      <w:pPr>
        <w:spacing w:before="240" w:after="60"/>
        <w:pBdr>
          <w:bottom w:val="single" w:sz="8" w:space="4" w:color="007A87"/>
        </w:pBdr>
      </w:pPr>
      <w:r>
        <w:rPr>
          <w:rFonts w:ascii="Calibri" w:hAnsi="Calibri"/>
          <w:b/>
          <w:i w:val="0"/>
          <w:color w:val="007A87"/>
          <w:sz w:val="17"/>
        </w:rPr>
        <w:t>PROFILE</w:t>
      </w:r>
    </w:p>
    <w:p>
      <w:pPr>
        <w:spacing w:before="80" w:after="120"/>
      </w:pPr>
      <w:r>
        <w:rPr>
          <w:rFonts w:ascii="Calibri" w:hAnsi="Calibri"/>
          <w:b w:val="0"/>
          <w:i w:val="0"/>
          <w:color w:val="4A5568"/>
          <w:sz w:val="20"/>
        </w:rPr>
        <w:t>Senior partnerships and programme leader with 20+ years' experience connecting people, building communities, and delivering high-impact learning experiences across engineering, STEM, creative and cultural sectors. Currently leading university and commercial partnerships at Engineers Without Borders UK — shaping multi-year relationships, stewarding organisational systems, and driving scalable learning experiences that upskill future engineers.</w:t>
        <w:br/>
        <w:br/>
        <w:t>I specialise in strategic partnerships, programme design, organisational development and creative facilitation. Alongside my role at EWB-UK, I work as a freelance consultant and facilitator — available for partnerships, programme and facilitation work across the creative, cultural, education and social impact sectors.</w:t>
      </w:r>
    </w:p>
    <w:p>
      <w:pPr>
        <w:spacing w:before="240" w:after="60"/>
        <w:pBdr>
          <w:bottom w:val="single" w:sz="8" w:space="4" w:color="007A87"/>
        </w:pBdr>
      </w:pPr>
      <w:r>
        <w:rPr>
          <w:rFonts w:ascii="Calibri" w:hAnsi="Calibri"/>
          <w:b/>
          <w:i w:val="0"/>
          <w:color w:val="007A87"/>
          <w:sz w:val="17"/>
        </w:rPr>
        <w:t>CORE STRENGTHS</w:t>
      </w:r>
    </w:p>
    <w:tbl>
      <w:tblPr>
        <w:tblStyle w:val="TableGrid"/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4933"/>
        <w:gridCol w:w="4933"/>
      </w:tblGrid>
      <w:tr>
        <w:tc>
          <w:tcPr>
            <w:tcW w:type="dxa" w:w="4762"/>
            <w:shd w:val="clear" w:color="auto" w:fill="EAF2F4"/>
          </w:tcPr>
          <w:p>
            <w:pPr>
              <w:spacing w:before="80" w:after="40"/>
              <w:ind w:left="142" w:right="142"/>
            </w:pPr>
            <w:r>
              <w:rPr>
                <w:rFonts w:ascii="Calibri" w:hAnsi="Calibri"/>
                <w:b/>
                <w:i w:val="0"/>
                <w:color w:val="1A2B4A"/>
                <w:sz w:val="19"/>
              </w:rPr>
              <w:t>Strategic Partnership Leadership</w:t>
              <w:br/>
            </w:r>
            <w:r>
              <w:rPr>
                <w:rFonts w:ascii="Calibri" w:hAnsi="Calibri"/>
                <w:b w:val="0"/>
                <w:i w:val="0"/>
                <w:color w:val="4A5568"/>
                <w:sz w:val="18"/>
              </w:rPr>
              <w:t>Building, stewarding and growing multi-year partnerships across universities, commercial organisations and mission-aligned networks.</w:t>
            </w:r>
          </w:p>
        </w:tc>
        <w:tc>
          <w:tcPr>
            <w:tcW w:type="dxa" w:w="4762"/>
            <w:shd w:val="clear" w:color="auto" w:fill="EAF2F4"/>
          </w:tcPr>
          <w:p>
            <w:pPr>
              <w:spacing w:before="80" w:after="40"/>
              <w:ind w:left="142" w:right="142"/>
            </w:pPr>
            <w:r>
              <w:rPr>
                <w:rFonts w:ascii="Calibri" w:hAnsi="Calibri"/>
                <w:b/>
                <w:i w:val="0"/>
                <w:color w:val="1A2B4A"/>
                <w:sz w:val="19"/>
              </w:rPr>
              <w:t>Programme &amp; Product Strategy</w:t>
              <w:br/>
            </w:r>
            <w:r>
              <w:rPr>
                <w:rFonts w:ascii="Calibri" w:hAnsi="Calibri"/>
                <w:b w:val="0"/>
                <w:i w:val="0"/>
                <w:color w:val="4A5568"/>
                <w:sz w:val="18"/>
              </w:rPr>
              <w:t>Leading the design, scaling and refinement of learning experiences, events and programme models — including national flagship events.</w:t>
            </w:r>
          </w:p>
        </w:tc>
      </w:tr>
      <w:tr>
        <w:tc>
          <w:tcPr>
            <w:tcW w:type="dxa" w:w="4762"/>
            <w:shd w:val="clear" w:color="auto" w:fill="EAF2F4"/>
          </w:tcPr>
          <w:p>
            <w:pPr>
              <w:spacing w:before="80" w:after="40"/>
              <w:ind w:left="142" w:right="142"/>
            </w:pPr>
            <w:r>
              <w:rPr>
                <w:rFonts w:ascii="Calibri" w:hAnsi="Calibri"/>
                <w:b/>
                <w:i w:val="0"/>
                <w:color w:val="1A2B4A"/>
                <w:sz w:val="19"/>
              </w:rPr>
              <w:t>Organisational Development &amp; Systems</w:t>
              <w:br/>
            </w:r>
            <w:r>
              <w:rPr>
                <w:rFonts w:ascii="Calibri" w:hAnsi="Calibri"/>
                <w:b w:val="0"/>
                <w:i w:val="0"/>
                <w:color w:val="4A5568"/>
                <w:sz w:val="18"/>
              </w:rPr>
              <w:t>Strengthening processes, CRM strategy, cross-team alignment and organisational clarity to support long-term impact.</w:t>
            </w:r>
          </w:p>
        </w:tc>
        <w:tc>
          <w:tcPr>
            <w:tcW w:type="dxa" w:w="4762"/>
            <w:shd w:val="clear" w:color="auto" w:fill="EAF2F4"/>
          </w:tcPr>
          <w:p>
            <w:pPr>
              <w:spacing w:before="80" w:after="40"/>
              <w:ind w:left="142" w:right="142"/>
            </w:pPr>
            <w:r>
              <w:rPr>
                <w:rFonts w:ascii="Calibri" w:hAnsi="Calibri"/>
                <w:b/>
                <w:i w:val="0"/>
                <w:color w:val="1A2B4A"/>
                <w:sz w:val="19"/>
              </w:rPr>
              <w:t>Facilitation, Coaching &amp; Community Building</w:t>
              <w:br/>
            </w:r>
            <w:r>
              <w:rPr>
                <w:rFonts w:ascii="Calibri" w:hAnsi="Calibri"/>
                <w:b w:val="0"/>
                <w:i w:val="0"/>
                <w:color w:val="4A5568"/>
                <w:sz w:val="18"/>
              </w:rPr>
              <w:t>Designing and delivering workshops, training and creative learning experiences that empower people and build confidence.</w:t>
            </w:r>
          </w:p>
        </w:tc>
      </w:tr>
    </w:tbl>
    <w:p/>
    <w:p>
      <w:pPr>
        <w:spacing w:before="240" w:after="60"/>
        <w:pBdr>
          <w:bottom w:val="single" w:sz="8" w:space="4" w:color="007A87"/>
        </w:pBdr>
      </w:pPr>
      <w:r>
        <w:rPr>
          <w:rFonts w:ascii="Calibri" w:hAnsi="Calibri"/>
          <w:b/>
          <w:i w:val="0"/>
          <w:color w:val="007A87"/>
          <w:sz w:val="17"/>
        </w:rPr>
        <w:t>SELECTED EXPERIENCE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Engineers Without Borders UK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2022 – Present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Universities &amp; Partnerships Lead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Strategic lead for university and commercial partnerships, shaping multi-year relationships that advance EWB-UK's mission.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Programme lead for the Engineering for People Design Challenge Grand Final — EWB-UK's national flagship event.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Driving development of scalable learning experiences that upskill future engineers and strengthen sector-wide impact.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Stewarding organisational systems, CRM strategy and cross-team alignment to support long-term programme delivery.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Saturday Changemakers Club — STEAMhouse, Birmingham City University</w:t>
      </w:r>
      <w:r>
        <w:rPr>
          <w:rFonts w:ascii="Calibri" w:hAnsi="Calibri"/>
          <w:b w:val="0"/>
          <w:i w:val="0"/>
          <w:color w:val="007A87"/>
          <w:sz w:val="18"/>
        </w:rPr>
        <w:t xml:space="preserve">   January – July 2026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Facilitator &amp; Content Producer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Co-running and managing the Saturday Changemakers Club as part of the National Saturday Club programme.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A 16-week programme focused on food surplus in collaboration with Birmingham City Football Club.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Enabling 13–16 year olds to engage in a dedicated design challenge and develop real-world creative and entrepreneurial skills.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Raspberry Pi Foundation — Code Club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2015 – 2019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Regional Lead, West Midlands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Grew West Midlands Code Clubs from 100 to 700+ active clubs, building one of the largest regional networks in the UK.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Built and stewarded a 2,700-strong volunteer community through targeted engagement, training and community development.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Developed strategic partnerships with schools, libraries, councils and businesses to embed coding education across the region.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Computing at School (BCS)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2019 – 2022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Outreach Manager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Managed and trained 100+ Community Leaders across 65+ communities of practice.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Supporting thousands of teachers delivering the computing curriculum through professional development events and resources.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Business Link West Midlands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2008 – 2012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Programme Manager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Delivered a £1m EU-funded programme supporting hundreds of creative businesses across the West Midlands region.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Led stakeholder engagement, programme reporting and partner relationships across a complex, multi-agency environment.</w:t>
      </w:r>
    </w:p>
    <w:p>
      <w:pPr>
        <w:spacing w:before="240" w:after="60"/>
        <w:pBdr>
          <w:bottom w:val="single" w:sz="8" w:space="4" w:color="007A87"/>
        </w:pBdr>
      </w:pPr>
      <w:r>
        <w:rPr>
          <w:rFonts w:ascii="Calibri" w:hAnsi="Calibri"/>
          <w:b/>
          <w:i w:val="0"/>
          <w:color w:val="007A87"/>
          <w:sz w:val="17"/>
        </w:rPr>
        <w:t>FREELANCE &amp; CONSULTANCY</w:t>
      </w:r>
    </w:p>
    <w:p>
      <w:pPr>
        <w:spacing w:before="80" w:after="120"/>
      </w:pPr>
      <w:r>
        <w:rPr>
          <w:rFonts w:ascii="Calibri" w:hAnsi="Calibri"/>
          <w:b w:val="0"/>
          <w:i w:val="0"/>
          <w:color w:val="4A5568"/>
          <w:sz w:val="20"/>
        </w:rPr>
        <w:t>Available for freelance partnerships, programme and facilitation work across the creative, cultural, education and social impact sectors. Selected clients and projects: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Nextdoor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2015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Community Launch Lead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Led the launch of Nextdoor in Birmingham as part of their UK national rollout, building community engagement and local partnerships across the city.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Birmingham City University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2008 – Present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Freelance Collaborator &amp; Visiting Lecturer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Visiting Lecturer on the MA Creative Industries programme.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Interactivos: collaborated on the content, design and delivery of a two-week international seminar and open innovation workshop.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Maker Monday: organiser of one of Birmingham's leading creativity and making events from 2015–2024.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Tom Fleming Creative Consultancy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2009 – 2012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Freelance Consultant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Evaluation of First Light Movies: provided evidence of beneficial outcomes of First Light's work with young people nationwide and considered future strategic directions.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Evaluation of the Grants for the Arts programme for Arts Council England.</w:t>
      </w:r>
    </w:p>
    <w:p>
      <w:pPr>
        <w:spacing w:before="160" w:after="20"/>
      </w:pPr>
      <w:r>
        <w:rPr>
          <w:rFonts w:ascii="Calibri" w:hAnsi="Calibri"/>
          <w:b/>
          <w:i w:val="0"/>
          <w:color w:val="1A2B4A"/>
          <w:sz w:val="20"/>
        </w:rPr>
        <w:t>Code Drum Heads</w:t>
      </w:r>
      <w:r>
        <w:rPr>
          <w:rFonts w:ascii="Calibri" w:hAnsi="Calibri"/>
          <w:b w:val="0"/>
          <w:i w:val="0"/>
          <w:color w:val="007A87"/>
          <w:sz w:val="18"/>
        </w:rPr>
        <w:t xml:space="preserve">   2014 – Present</w:t>
      </w:r>
    </w:p>
    <w:p>
      <w:pPr>
        <w:spacing w:before="0" w:after="60"/>
      </w:pPr>
      <w:r>
        <w:rPr>
          <w:rFonts w:ascii="Calibri" w:hAnsi="Calibri"/>
          <w:b w:val="0"/>
          <w:i/>
          <w:color w:val="4A5568"/>
          <w:sz w:val="19"/>
        </w:rPr>
        <w:t>Marketing Lead &amp; Brand Ambassador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Leading social media marketing strategy for Code Drum Heads, the UK's leading drumhead company.</w:t>
      </w:r>
    </w:p>
    <w:p>
      <w:pPr>
        <w:pStyle w:val="ListBullet"/>
        <w:spacing w:before="20" w:after="20"/>
        <w:ind w:left="340" w:hanging="198"/>
      </w:pPr>
      <w:r>
        <w:rPr>
          <w:rFonts w:ascii="Calibri" w:hAnsi="Calibri"/>
          <w:b w:val="0"/>
          <w:i w:val="0"/>
          <w:color w:val="4A5568"/>
          <w:sz w:val="19"/>
        </w:rPr>
        <w:t>Brand ambassador and product endorser, combining creative content with community engagement.</w:t>
      </w:r>
    </w:p>
    <w:p>
      <w:pPr>
        <w:spacing w:before="240" w:after="60"/>
        <w:pBdr>
          <w:bottom w:val="single" w:sz="8" w:space="4" w:color="007A87"/>
        </w:pBdr>
      </w:pPr>
      <w:r>
        <w:rPr>
          <w:rFonts w:ascii="Calibri" w:hAnsi="Calibri"/>
          <w:b/>
          <w:i w:val="0"/>
          <w:color w:val="007A87"/>
          <w:sz w:val="17"/>
        </w:rPr>
        <w:t>WHAT I DO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4933"/>
        <w:gridCol w:w="4933"/>
      </w:tblGrid>
      <w:tr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Strategic partnership development &amp; stewardship</w:t>
            </w:r>
          </w:p>
        </w:tc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Facilitation, coaching &amp; training design</w:t>
            </w:r>
          </w:p>
        </w:tc>
      </w:tr>
      <w:tr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Programme &amp; product strategy</w:t>
            </w:r>
          </w:p>
        </w:tc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Community building &amp; stakeholder engagement</w:t>
            </w:r>
          </w:p>
        </w:tc>
      </w:tr>
      <w:tr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Event leadership — including national flagship events</w:t>
            </w:r>
          </w:p>
        </w:tc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Creative strategy &amp; content</w:t>
            </w:r>
          </w:p>
        </w:tc>
      </w:tr>
      <w:tr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Organisational systems &amp; CRM development</w:t>
            </w:r>
          </w:p>
        </w:tc>
        <w:tc>
          <w:tcPr>
            <w:tcW w:type="dxa" w:w="4933"/>
          </w:tcPr>
          <w:p>
            <w:pPr>
              <w:spacing w:before="20" w:after="20"/>
            </w:pPr>
            <w:r>
              <w:rPr>
                <w:rFonts w:ascii="Calibri" w:hAnsi="Calibri"/>
                <w:b w:val="0"/>
                <w:i w:val="0"/>
                <w:color w:val="4A5568"/>
                <w:sz w:val="19"/>
              </w:rPr>
              <w:t>→  Research, insight &amp; evaluation</w:t>
            </w:r>
          </w:p>
        </w:tc>
      </w:tr>
    </w:tbl>
    <w:p/>
    <w:p>
      <w:pPr>
        <w:pBdr>
          <w:bottom w:val="single" w:sz="8" w:space="4" w:color="007A87"/>
        </w:pBdr>
        <w:spacing w:before="160" w:after="40"/>
      </w:pPr>
    </w:p>
    <w:p>
      <w:pPr>
        <w:spacing w:before="40" w:after="0"/>
        <w:jc w:val="center"/>
      </w:pPr>
      <w:r>
        <w:rPr>
          <w:rFonts w:ascii="Calibri" w:hAnsi="Calibri"/>
          <w:b w:val="0"/>
          <w:i w:val="0"/>
          <w:color w:val="007A87"/>
          <w:sz w:val="17"/>
        </w:rPr>
        <w:t>hello@timmy666.com   |   linkedin.com/in/mrtimwilson   |   facebook.com/timinwalsall   |   timmy666.com</w:t>
      </w:r>
    </w:p>
    <w:sectPr w:rsidR="00FC693F" w:rsidRPr="0006063C" w:rsidSect="00034616"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